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77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 w14:paraId="051077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jc w:val="center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日照市居民医疗保险方案</w:t>
      </w:r>
    </w:p>
    <w:p w14:paraId="0733D5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DF2F2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日照市2026年度城乡居民基本医疗保险高校学生个人缴费已经开始了，为保障您及时享受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相关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待遇，现将缴费有关情况告知如下：</w:t>
      </w:r>
    </w:p>
    <w:p w14:paraId="699270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一、参保范围</w:t>
      </w:r>
    </w:p>
    <w:p w14:paraId="4E2865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我市行政区域内</w:t>
      </w:r>
      <w:r>
        <w:rPr>
          <w:rFonts w:hint="eastAsia" w:ascii="Times New Roman" w:hAnsi="Times New Roman" w:eastAsia="仿宋_GB2312" w:cs="Times New Roman"/>
          <w:color w:val="0000FF"/>
          <w:sz w:val="32"/>
          <w:szCs w:val="32"/>
          <w:lang w:eastAsia="zh-CN"/>
        </w:rPr>
        <w:t>高校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在校学生（全日制本专科学生、非在职研究生、职业院校学生、技工院校学生，下同）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均可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城乡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居民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基本医疗保险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6D30FF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二、缴费标准</w:t>
      </w:r>
    </w:p>
    <w:p w14:paraId="4DBB0439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FF"/>
          <w:sz w:val="32"/>
          <w:szCs w:val="32"/>
          <w:lang w:eastAsia="zh-CN"/>
        </w:rPr>
        <w:t>高校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在校学生随学校整体缴费的，2026年度缴费标准为每人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240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元。可选择按学制趸交，趸交期内个人缴费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标准调整的多退少不补。</w:t>
      </w:r>
    </w:p>
    <w:p w14:paraId="7B19E95D">
      <w:pPr>
        <w:pStyle w:val="3"/>
        <w:pageBreakBefore w:val="0"/>
        <w:numPr>
          <w:ilvl w:val="0"/>
          <w:numId w:val="0"/>
        </w:numPr>
        <w:wordWrap/>
        <w:topLinePunct w:val="0"/>
        <w:bidi w:val="0"/>
        <w:spacing w:line="560" w:lineRule="exact"/>
        <w:ind w:left="0" w:leftChars="0" w:right="0" w:rightChars="0" w:firstLine="640" w:firstLineChars="200"/>
        <w:jc w:val="both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待遇优惠政策</w:t>
      </w:r>
    </w:p>
    <w:p w14:paraId="597B02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560" w:lineRule="exact"/>
        <w:ind w:left="0" w:leftChars="0" w:right="0" w:rightChars="0"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 w:bidi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在日照市参加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城乡</w:t>
      </w:r>
      <w:r>
        <w:rPr>
          <w:rFonts w:hint="eastAsia" w:ascii="仿宋_GB2312" w:hAnsi="仿宋_GB2312" w:eastAsia="仿宋_GB2312" w:cs="仿宋_GB2312"/>
          <w:sz w:val="32"/>
          <w:szCs w:val="32"/>
        </w:rPr>
        <w:t>居民基本医疗保险的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高校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，就读期间因疾病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回</w:t>
      </w:r>
      <w:r>
        <w:rPr>
          <w:rFonts w:hint="eastAsia" w:ascii="仿宋_GB2312" w:hAnsi="仿宋_GB2312" w:eastAsia="仿宋_GB2312" w:cs="仿宋_GB2312"/>
          <w:sz w:val="32"/>
          <w:szCs w:val="32"/>
        </w:rPr>
        <w:t>户籍地就医享受与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日照市内</w:t>
      </w:r>
      <w:r>
        <w:rPr>
          <w:rFonts w:hint="eastAsia" w:ascii="仿宋_GB2312" w:hAnsi="仿宋_GB2312" w:eastAsia="仿宋_GB2312" w:cs="仿宋_GB2312"/>
          <w:sz w:val="32"/>
          <w:szCs w:val="32"/>
        </w:rPr>
        <w:t>（学籍地）相同的报销待遇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无个人先负担20%。</w:t>
      </w:r>
    </w:p>
    <w:p w14:paraId="2302E6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560" w:lineRule="exact"/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napToGrid w:val="0"/>
          <w:color w:val="FF000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 w:bidi="ar-SA"/>
        </w:rPr>
        <w:t>2.新生首次在日照市集中缴费期内参保缴费的，自缴费之日起至2026年底享受医保待遇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 w:bidi="zh-CN"/>
        </w:rPr>
        <w:t>。</w:t>
      </w:r>
    </w:p>
    <w:p w14:paraId="2491E9BF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snapToGrid/>
        <w:spacing w:before="0" w:line="560" w:lineRule="exact"/>
        <w:ind w:left="0" w:leftChars="0" w:right="0" w:rightChars="0" w:firstLine="640" w:firstLineChars="20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发生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无责任人的意外人身伤害事故，门诊费用100元以上的部分，报销60%，每年最高报销1000元。</w:t>
      </w:r>
    </w:p>
    <w:p w14:paraId="7D14EA9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华文楷体" w:hAnsi="华文楷体" w:eastAsia="华文楷体" w:cs="华文楷体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四、参保登记</w:t>
      </w:r>
    </w:p>
    <w:p w14:paraId="5FF10A4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 w:bidi="ar-SA"/>
        </w:rPr>
        <w:t>由学校收集学生基本信息，以学校为单位统一参保登记，无需学生本人操作</w:t>
      </w:r>
      <w:r>
        <w:rPr>
          <w:rFonts w:hint="eastAsia" w:ascii="仿宋_GB2312" w:hAnsi="仿宋_GB2312" w:eastAsia="仿宋_GB2312" w:cs="仿宋_GB2312"/>
          <w:snapToGrid w:val="0"/>
          <w:color w:val="0000FF"/>
          <w:sz w:val="32"/>
          <w:szCs w:val="32"/>
          <w:lang w:val="en-US" w:eastAsia="zh-CN" w:bidi="ar-SA"/>
        </w:rPr>
        <w:t>（学生批量参保登记报盘模板详见附件5）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 w:bidi="ar-SA"/>
        </w:rPr>
        <w:t>。各学院统计填表的时候要注意，年交的征缴规则编号为：</w:t>
      </w:r>
      <w:r>
        <w:rPr>
          <w:rFonts w:hint="eastAsia" w:ascii="仿宋_GB2312" w:hAnsi="仿宋_GB2312" w:eastAsia="仿宋_GB2312" w:cs="仿宋_GB2312"/>
          <w:snapToGrid w:val="0"/>
          <w:color w:val="0000FF"/>
          <w:sz w:val="32"/>
          <w:szCs w:val="32"/>
          <w:lang w:val="en-US" w:eastAsia="zh-CN" w:bidi="ar-SA"/>
        </w:rPr>
        <w:t>A390C1,趸交编号为：A390C6，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 w:bidi="ar-SA"/>
        </w:rPr>
        <w:t>一定不要填错，年交和趸交需分成两个报盘标注清楚。如之前是年交，2026年想趸交，需填报盘表并在表名上标记，不要和今年新生趸交的放在一个表里，要单独报盘。即日起日照校区可以参保登记报盘。</w:t>
      </w:r>
    </w:p>
    <w:p w14:paraId="2AEF983C">
      <w:pPr>
        <w:pStyle w:val="3"/>
        <w:pageBreakBefore w:val="0"/>
        <w:numPr>
          <w:ilvl w:val="0"/>
          <w:numId w:val="0"/>
        </w:numPr>
        <w:wordWrap/>
        <w:topLinePunct w:val="0"/>
        <w:bidi w:val="0"/>
        <w:spacing w:line="560" w:lineRule="exact"/>
        <w:ind w:left="0" w:leftChars="0" w:right="0" w:rightChars="0" w:firstLine="640" w:firstLineChars="200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五、参保长效机制</w:t>
      </w:r>
    </w:p>
    <w:p w14:paraId="33022E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自2025年起，连续参加居民医保满4年的，之后每连续参保缴费1年，居民大病保险（不含大病特药、罕见病用药，下同）最高支付限额提高3000元。当年医保基金零报销且于次年正常参保缴费的，次年大病保险最高支付限额提高3000元。连续参保缴费激励和零报销激励累计提高总额度不超过80000元。参保居民发生大病报销并使用奖励额度后，前期积累的零报销激励额度清零。断保之后再次参保缴费的，连续参保缴费年数重新计算。</w:t>
      </w:r>
    </w:p>
    <w:p w14:paraId="445B56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自2025年起，未在居民医保集中缴费期参保缴费或未连续参保缴费的，设置固定待遇等待期3个月;其中，未连续参保缴费的，每多断保1年，待遇等待期再增加1个月。待遇等待期可通过缴费修复，每多缴纳1年可减少1个月待遇等待期（固定待遇等待期不变），连续断缴4年及以上的，修复后待遇等待期（含固定等待期）不少于6个月。断保期间发生的医疗费用不予报销。自2025年起，对居民医保断保后再参保缴费的，降低大病保险最高支付限额，每断保1年，居民大病保险最高支付限额降低3000元，累计降低总额度不超过80000元。</w:t>
      </w:r>
    </w:p>
    <w:p w14:paraId="0214BF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、异地</w:t>
      </w:r>
      <w:r>
        <w:rPr>
          <w:rFonts w:hint="eastAsia" w:ascii="黑体" w:hAnsi="黑体" w:eastAsia="黑体" w:cs="黑体"/>
          <w:sz w:val="32"/>
          <w:szCs w:val="32"/>
        </w:rPr>
        <w:t>就医</w:t>
      </w:r>
    </w:p>
    <w:p w14:paraId="7B6AE9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（一）备案</w:t>
      </w:r>
    </w:p>
    <w:p w14:paraId="25DD48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在校学生到</w:t>
      </w:r>
      <w:r>
        <w:rPr>
          <w:rFonts w:hint="eastAsia" w:ascii="仿宋_GB2312" w:hAnsi="仿宋_GB2312" w:eastAsia="仿宋_GB2312" w:cs="仿宋_GB2312"/>
          <w:sz w:val="32"/>
          <w:szCs w:val="32"/>
        </w:rPr>
        <w:t>户籍地就医需办理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长期异地居住备案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所需材料按照国家医疗保障经办政务服务事项清单执行，就医地居住证或居民户口簿（户口簿首页和本人常住人口登记卡）之一即可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；到户籍地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以外的市临时</w:t>
      </w:r>
      <w:r>
        <w:rPr>
          <w:rFonts w:hint="eastAsia" w:ascii="仿宋_GB2312" w:hAnsi="仿宋_GB2312" w:eastAsia="仿宋_GB2312" w:cs="仿宋_GB2312"/>
          <w:sz w:val="32"/>
          <w:szCs w:val="32"/>
        </w:rPr>
        <w:t>就医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省内无需备案，跨省需办理临时外出就医备案，无需提供材料；</w:t>
      </w:r>
    </w:p>
    <w:p w14:paraId="01658E2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1.掌上备案。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过“国家医保服务平台”APP、“国家异地就医备案”、“鲁医保”微信小程序、“爱山东”APP、“日照医保”微信小程序、“日照医保”支付宝小程序网上办、掌上办。</w:t>
      </w:r>
    </w:p>
    <w:p w14:paraId="7741AD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2.现场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备案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市直:青岛路518号日照国际博览中心D区日照市政务服务大厅医保综合商口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4ADCC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3.电话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备案</w:t>
      </w:r>
      <w:r>
        <w:rPr>
          <w:rFonts w:hint="eastAsia" w:ascii="仿宋_GB2312" w:hAnsi="仿宋_GB2312" w:eastAsia="仿宋_GB2312" w:cs="仿宋_GB2312"/>
          <w:sz w:val="32"/>
          <w:szCs w:val="32"/>
        </w:rPr>
        <w:t>。0633-7670111。</w:t>
      </w:r>
    </w:p>
    <w:p w14:paraId="3A2F8A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费用报销</w:t>
      </w:r>
    </w:p>
    <w:p w14:paraId="7E318A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异地就医费用可以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直接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目前，住院费用、普通门诊费用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、省内</w:t>
      </w:r>
      <w:r>
        <w:rPr>
          <w:rFonts w:hint="eastAsia" w:ascii="仿宋_GB2312" w:hAnsi="仿宋_GB2312" w:eastAsia="仿宋_GB2312" w:cs="仿宋_GB2312"/>
          <w:sz w:val="32"/>
          <w:szCs w:val="32"/>
        </w:rPr>
        <w:t>门诊慢特病费用都可以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实现异地就医</w:t>
      </w:r>
      <w:r>
        <w:rPr>
          <w:rFonts w:hint="eastAsia" w:ascii="仿宋_GB2312" w:hAnsi="仿宋_GB2312" w:eastAsia="仿宋_GB2312" w:cs="仿宋_GB2312"/>
          <w:sz w:val="32"/>
          <w:szCs w:val="32"/>
        </w:rPr>
        <w:t>联网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高血压、糖尿病、恶性肿瘤门诊治疗、尿毒症透析、器官移植术后抗排异治疗、慢性阻塞性肺疾病、类风湿关节炎、冠心病、病毒性肝炎、强直性脊柱炎10个门诊慢特病病种相关治疗费用可以进行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跨省异地就医直接联网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报销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9BF3A9E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可以进行直接联网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的医院。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全国所有开通住院、普通门诊、门诊慢特病异地联网相关报销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类型的定点医院都能够直接联网报销。开通异地联网报销的定点医院可通过国家医保服务平台APP查询。</w:t>
      </w:r>
    </w:p>
    <w:p w14:paraId="4536936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医疗费手工报销。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异地就医后，未在医院联网报销的，可携带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医院收费有效票据、费用清单、出院记录（诊断证明），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回日照市各医疗保险经办大厅办理手工报销；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属于外伤情形的，须提供病历复印件、第三方赔付材料（或个人书面承诺书）。</w:t>
      </w:r>
    </w:p>
    <w:p w14:paraId="45758A76">
      <w:pPr>
        <w:pageBreakBefore w:val="0"/>
        <w:wordWrap/>
        <w:topLinePunct w:val="0"/>
        <w:bidi w:val="0"/>
        <w:spacing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42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60" w:lineRule="exact"/>
      <w:jc w:val="center"/>
      <w:outlineLvl w:val="0"/>
    </w:pPr>
    <w:rPr>
      <w:rFonts w:ascii="方正小标宋_GBK" w:hAnsi="方正小标宋_GBK" w:eastAsia="方正小标宋_GBK" w:cs="方正小标宋_GBK"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99"/>
    <w:rPr>
      <w:sz w:val="32"/>
      <w:szCs w:val="32"/>
    </w:rPr>
  </w:style>
  <w:style w:type="paragraph" w:styleId="4">
    <w:name w:val="Body Text"/>
    <w:basedOn w:val="1"/>
    <w:semiHidden/>
    <w:qFormat/>
    <w:uiPriority w:val="0"/>
  </w:style>
  <w:style w:type="paragraph" w:customStyle="1" w:styleId="7">
    <w:name w:val="正文文本1"/>
    <w:basedOn w:val="1"/>
    <w:qFormat/>
    <w:uiPriority w:val="0"/>
    <w:pPr>
      <w:ind w:left="116"/>
    </w:pPr>
    <w:rPr>
      <w:rFonts w:ascii="仿宋" w:hAnsi="仿宋" w:eastAsia="仿宋"/>
      <w:sz w:val="28"/>
      <w:szCs w:val="2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2025-09-24T08:16:57Z</dcterms:created>
  <dc:creator>014</dc:creator>
  <cp:lastModifiedBy>过你就像过清晨的马路</cp:lastModifiedBy>
  <dcterms:modified xsi:type="dcterms:W3CDTF">2025-09-24T08:17:35Z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eyJoZGlkIjoiYjY0MzgzNGVkNWQ2NWI2Njk4ODI0ZGI5NjViNzgyYzAiLCJ1c2VySWQiOiI5MzYxNTg0NTAifQ==</vt:lpwstr>
  </property>
  <property fmtid="{D5CDD505-2E9C-101B-9397-08002B2CF9AE}" pid="4" name="ICV">
    <vt:lpwstr>3633BB83916E40ECB0F682B7C9AE2204_12</vt:lpwstr>
  </property>
</Properties>
</file>