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AF3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等线" w:hAnsi="等线" w:eastAsia="等线" w:cs="等线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山东省乡村振兴基金会天使健康专项基金“儒医成长”助学基金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highlight w:val="none"/>
        </w:rPr>
        <w:t>评选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办法</w:t>
      </w:r>
    </w:p>
    <w:p w14:paraId="127DD2C2">
      <w:pPr>
        <w:widowControl/>
        <w:spacing w:line="175" w:lineRule="atLeast"/>
        <w:jc w:val="center"/>
        <w:rPr>
          <w:rFonts w:ascii="等线" w:hAnsi="等线" w:eastAsia="等线" w:cs="等线"/>
          <w:color w:val="000000"/>
          <w:szCs w:val="21"/>
        </w:rPr>
      </w:pPr>
    </w:p>
    <w:p w14:paraId="31BBB42B">
      <w:pPr>
        <w:widowControl/>
        <w:spacing w:line="560" w:lineRule="exact"/>
        <w:ind w:firstLine="640"/>
        <w:rPr>
          <w:rFonts w:ascii="等线" w:hAnsi="等线" w:eastAsia="等线" w:cs="等线"/>
          <w:sz w:val="32"/>
          <w:szCs w:val="32"/>
        </w:rPr>
      </w:pPr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第一条</w:t>
      </w:r>
      <w:r>
        <w:rPr>
          <w:rFonts w:hint="eastAsia" w:ascii="等线" w:hAnsi="等线" w:eastAsia="等线" w:cs="等线"/>
          <w:kern w:val="0"/>
          <w:sz w:val="32"/>
          <w:szCs w:val="32"/>
          <w:lang w:bidi="ar"/>
        </w:rPr>
        <w:t xml:space="preserve"> 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为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val="en-US" w:eastAsia="zh-CN" w:bidi="ar"/>
        </w:rPr>
        <w:t>支持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学校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val="en-US" w:eastAsia="zh-CN" w:bidi="ar"/>
        </w:rPr>
        <w:t>教育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事业发展，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山东省乡村振兴基</w:t>
      </w:r>
      <w:bookmarkStart w:id="0" w:name="_GoBack"/>
      <w:bookmarkEnd w:id="0"/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金会设立“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山东省乡村振兴基金会天使健康专项基金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‘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儒医成长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’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”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以下简称“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，每年捐资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贰拾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万元人民币，用于资助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我校具有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我校正式学籍的全日制本科在校生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。结合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val="en-US" w:eastAsia="zh-CN" w:bidi="ar"/>
        </w:rPr>
        <w:t>学校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实际，特制定本办法。</w:t>
      </w:r>
    </w:p>
    <w:p w14:paraId="6B20A95F">
      <w:pPr>
        <w:widowControl/>
        <w:spacing w:line="560" w:lineRule="exact"/>
        <w:ind w:firstLine="640"/>
        <w:rPr>
          <w:rFonts w:ascii="仿宋_GB2312" w:hAnsi="等线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第二条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助学基金的评定工作每学年进行一次，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>奖励学习成绩优秀、综合表现优秀的学生，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每次评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选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2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val="en-US" w:eastAsia="zh-CN" w:bidi="ar"/>
        </w:rPr>
        <w:t>50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名，标准为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val="en-US" w:eastAsia="zh-CN" w:bidi="ar"/>
        </w:rPr>
        <w:t>8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00元/生/年。</w:t>
      </w:r>
    </w:p>
    <w:p w14:paraId="6EBD38AB">
      <w:pPr>
        <w:widowControl/>
        <w:spacing w:line="560" w:lineRule="exact"/>
        <w:ind w:firstLine="640"/>
        <w:rPr>
          <w:rFonts w:ascii="等线" w:hAnsi="等线" w:eastAsia="等线" w:cs="等线"/>
          <w:sz w:val="32"/>
          <w:szCs w:val="32"/>
        </w:rPr>
      </w:pP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第三条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val="en-US" w:eastAsia="zh-CN" w:bidi="ar"/>
        </w:rPr>
        <w:t xml:space="preserve"> 参加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“助学基金”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>评选的学生须具备以下条件：</w:t>
      </w:r>
    </w:p>
    <w:p w14:paraId="5201D6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val="zh-CN"/>
        </w:rPr>
        <w:t>（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val="zh-CN"/>
        </w:rPr>
        <w:t>）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具有中华人民共和国国籍；</w:t>
      </w:r>
    </w:p>
    <w:p w14:paraId="2B839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 w:firstLine="640" w:firstLineChars="200"/>
        <w:jc w:val="left"/>
        <w:textAlignment w:val="auto"/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（二）</w:t>
      </w:r>
      <w:r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热爱中华人民共和国，拥护</w:t>
      </w:r>
      <w:r>
        <w:rPr>
          <w:b w:val="0"/>
          <w:bCs w:val="0"/>
          <w:color w:val="auto"/>
          <w:highlight w:val="none"/>
        </w:rPr>
        <w:fldChar w:fldCharType="begin"/>
      </w:r>
      <w:r>
        <w:rPr>
          <w:b w:val="0"/>
          <w:bCs w:val="0"/>
          <w:color w:val="auto"/>
          <w:highlight w:val="none"/>
        </w:rPr>
        <w:instrText xml:space="preserve"> HYPERLINK "http://baike.so.com/doc/1475840.html" \t "_blank" </w:instrText>
      </w:r>
      <w:r>
        <w:rPr>
          <w:b w:val="0"/>
          <w:bCs w:val="0"/>
          <w:color w:val="auto"/>
          <w:highlight w:val="none"/>
        </w:rPr>
        <w:fldChar w:fldCharType="separate"/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中国共产党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fldChar w:fldCharType="end"/>
      </w:r>
      <w:r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的领导；</w:t>
      </w:r>
    </w:p>
    <w:p w14:paraId="72A79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 w:firstLine="640" w:firstLineChars="200"/>
        <w:jc w:val="left"/>
        <w:textAlignment w:val="auto"/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（三）</w:t>
      </w:r>
      <w:r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遵守宪法和法律，遵守学校规章制度；</w:t>
      </w:r>
    </w:p>
    <w:p w14:paraId="21BCE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 w:firstLine="640" w:firstLineChars="200"/>
        <w:jc w:val="left"/>
        <w:textAlignment w:val="auto"/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（四）</w:t>
      </w:r>
      <w:r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诚实守信，道德品质优良；</w:t>
      </w:r>
    </w:p>
    <w:p w14:paraId="67369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 w:firstLine="640" w:firstLineChars="200"/>
        <w:jc w:val="left"/>
        <w:textAlignment w:val="auto"/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（五）学习刻苦，</w:t>
      </w:r>
      <w:r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成绩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优良</w:t>
      </w:r>
      <w:r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本学年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无不及格课程；</w:t>
      </w:r>
    </w:p>
    <w:p w14:paraId="341BD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 w:firstLine="640" w:firstLineChars="200"/>
        <w:jc w:val="left"/>
        <w:textAlignment w:val="auto"/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（六）积极参加学校组织的活动；</w:t>
      </w:r>
    </w:p>
    <w:p w14:paraId="2041D0A1">
      <w:pPr>
        <w:widowControl/>
        <w:spacing w:line="560" w:lineRule="exact"/>
        <w:ind w:firstLine="640"/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</w:rPr>
        <w:t>）及时足额缴纳学费、住宿费等费用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eastAsia="zh-CN"/>
        </w:rPr>
        <w:t>；</w:t>
      </w:r>
    </w:p>
    <w:p w14:paraId="384ED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（八）具有我校学籍的二年级（含）以上全日制本科在校生。</w:t>
      </w:r>
    </w:p>
    <w:p w14:paraId="1810C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（九）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学习成绩优异，社会实践、创新能力、综合素质等方面突出，综合测评成绩排名位于前40%（含40%）且当学年未获得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val="zh-CN" w:eastAsia="zh-CN"/>
        </w:rPr>
        <w:t>校级优秀学生奖学金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和单项奖学金。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综合测评成绩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en-US" w:eastAsia="zh-CN"/>
        </w:rPr>
        <w:t>依据</w:t>
      </w:r>
      <w:r>
        <w:rPr>
          <w:rFonts w:ascii="仿宋_GB2312" w:hAnsi="宋体" w:eastAsia="仿宋_GB2312" w:cs="仿宋_GB2312"/>
          <w:b w:val="0"/>
          <w:bCs w:val="0"/>
          <w:color w:val="auto"/>
          <w:kern w:val="0"/>
          <w:sz w:val="31"/>
          <w:szCs w:val="31"/>
          <w:lang w:val="en-US" w:eastAsia="zh-CN" w:bidi="ar"/>
        </w:rPr>
        <w:t>《济宁医学院本科学生综合素质测评办法（试行）</w:t>
      </w:r>
      <w:r>
        <w:rPr>
          <w:rFonts w:ascii="仿宋_GB2312" w:hAnsi="宋体" w:eastAsia="仿宋_GB2312" w:cs="宋体"/>
          <w:b w:val="0"/>
          <w:bCs w:val="0"/>
          <w:color w:val="auto"/>
          <w:sz w:val="32"/>
          <w:szCs w:val="32"/>
          <w:lang w:val="en-US" w:eastAsia="zh-CN"/>
        </w:rPr>
        <w:t>》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en-US" w:eastAsia="zh-CN"/>
        </w:rPr>
        <w:t>（济医院字〔2024〕113号文）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>执行。</w:t>
      </w:r>
    </w:p>
    <w:p w14:paraId="17DA175E">
      <w:pPr>
        <w:widowControl/>
        <w:spacing w:line="56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第四条</w:t>
      </w:r>
      <w:r>
        <w:rPr>
          <w:rFonts w:hint="eastAsia" w:ascii="楷体_GB2312" w:hAnsi="等线" w:eastAsia="楷体_GB2312" w:cs="楷体_GB2312"/>
          <w:b/>
          <w:bCs/>
          <w:kern w:val="0"/>
          <w:sz w:val="32"/>
          <w:szCs w:val="32"/>
          <w:lang w:bidi="ar"/>
        </w:rPr>
        <w:t xml:space="preserve"> </w:t>
      </w:r>
      <w:r>
        <w:rPr>
          <w:rFonts w:hint="eastAsia" w:ascii="仿宋_GB2312" w:hAnsi="等线" w:eastAsia="仿宋_GB2312" w:cs="楷体_GB2312"/>
          <w:bCs/>
          <w:kern w:val="0"/>
          <w:sz w:val="32"/>
          <w:szCs w:val="32"/>
          <w:lang w:bidi="ar"/>
        </w:rPr>
        <w:t>评</w:t>
      </w:r>
      <w:r>
        <w:rPr>
          <w:rFonts w:hint="eastAsia" w:ascii="仿宋_GB2312" w:hAnsi="等线" w:eastAsia="仿宋_GB2312" w:cs="楷体_GB2312"/>
          <w:bCs/>
          <w:kern w:val="0"/>
          <w:sz w:val="32"/>
          <w:szCs w:val="32"/>
          <w:lang w:val="en-US" w:eastAsia="zh-CN" w:bidi="ar"/>
        </w:rPr>
        <w:t>选</w:t>
      </w:r>
      <w:r>
        <w:rPr>
          <w:rFonts w:hint="eastAsia" w:ascii="仿宋_GB2312" w:hAnsi="等线" w:eastAsia="仿宋_GB2312" w:cs="楷体_GB2312"/>
          <w:bCs/>
          <w:kern w:val="0"/>
          <w:sz w:val="32"/>
          <w:szCs w:val="32"/>
          <w:lang w:bidi="ar"/>
        </w:rPr>
        <w:t>工作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每学年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秋季学期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校级优秀奖学金和单项奖学金评选结束后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进行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。</w:t>
      </w:r>
    </w:p>
    <w:p w14:paraId="5C3CA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第五条 评审程序：</w:t>
      </w:r>
    </w:p>
    <w:p w14:paraId="01735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学生申请。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  <w:t>符合条件的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学生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  <w:t>提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交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申请材料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  <w:t>。</w:t>
      </w:r>
    </w:p>
    <w:p w14:paraId="583AC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班级评议。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班级民主评议小组根据学生提交的申请材料，按照申请条件，结合申请学生实际情况评议，评议本</w:t>
      </w:r>
      <w:r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班级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（或专业、年级）各类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建议学生名单。</w:t>
      </w:r>
    </w:p>
    <w:p w14:paraId="0A6F0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学院初审。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学院</w:t>
      </w:r>
      <w:r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学生资助工作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小</w:t>
      </w:r>
      <w:r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组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审核班级民主评议小组申报的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学生建议名单，并公示3个工作日，公示无异议后，报学校奖学金评审委员会审核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。</w:t>
      </w:r>
    </w:p>
    <w:p w14:paraId="6495F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学校奖学金评审委员会审核。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学校奖学金评审委员会审核学院学生资助工作小组提出的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获奖学生建议名单，报学校学生资助工作领导小组审定。</w:t>
      </w:r>
    </w:p>
    <w:p w14:paraId="1BDA3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（五）学校学生资助工作领导小组审定。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学校学生资助工作领导小组审定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获奖学生建议名单，并公示5个工作日，公示无异议后，确定奖学金评审结果。</w:t>
      </w:r>
    </w:p>
    <w:p w14:paraId="20FB6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>第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>条  有下列情况之一者，不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en-US" w:eastAsia="zh-CN"/>
        </w:rPr>
        <w:t>能参评助学基金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>：</w:t>
      </w:r>
    </w:p>
    <w:p w14:paraId="64C4D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>（一）学年内受学校通报批评或警告及以上处分者。</w:t>
      </w:r>
    </w:p>
    <w:p w14:paraId="01A8B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>（二）学年内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en-US" w:eastAsia="zh-CN"/>
        </w:rPr>
        <w:t>未修满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>学校规定的学分者。</w:t>
      </w:r>
    </w:p>
    <w:p w14:paraId="3F19A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 xml:space="preserve">第十条  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en-US" w:eastAsia="zh-CN"/>
        </w:rPr>
        <w:t>助学基金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>由学校发放至学生本人银行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en-US" w:eastAsia="zh-CN"/>
        </w:rPr>
        <w:t>账</w:t>
      </w:r>
      <w:r>
        <w:rPr>
          <w:rFonts w:hint="eastAsia" w:ascii="仿宋_GB2312" w:hAnsi="宋体" w:eastAsia="仿宋_GB2312" w:cs="宋体"/>
          <w:b w:val="0"/>
          <w:bCs w:val="0"/>
          <w:color w:val="auto"/>
          <w:sz w:val="32"/>
          <w:szCs w:val="32"/>
          <w:lang w:val="zh-CN"/>
        </w:rPr>
        <w:t>户。</w:t>
      </w:r>
    </w:p>
    <w:p w14:paraId="24D6B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第六条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学校对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实行分账核算、专款专用，确保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用于资助家庭经济困难学生。</w:t>
      </w:r>
    </w:p>
    <w:p w14:paraId="35467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第七条  本办法由学生工作处负责解释。</w:t>
      </w:r>
    </w:p>
    <w:p w14:paraId="37C07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第八条  本办法自公布之日起施行。</w:t>
      </w:r>
    </w:p>
    <w:p w14:paraId="2CE73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31969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2025年10月22日</w:t>
      </w:r>
    </w:p>
    <w:p w14:paraId="0936C6C4">
      <w:pPr>
        <w:widowControl/>
        <w:spacing w:line="560" w:lineRule="exact"/>
        <w:ind w:firstLine="640"/>
        <w:rPr>
          <w:rFonts w:ascii="仿宋_GB2312" w:hAnsi="等线" w:eastAsia="仿宋_GB2312" w:cs="仿宋_GB2312"/>
          <w:kern w:val="0"/>
          <w:sz w:val="32"/>
          <w:szCs w:val="32"/>
          <w:lang w:bidi="ar"/>
        </w:rPr>
      </w:pPr>
    </w:p>
    <w:p w14:paraId="0937830F">
      <w:pPr>
        <w:widowControl/>
        <w:rPr>
          <w:rFonts w:ascii="仿宋_GB2312" w:hAnsi="宋体" w:eastAsia="仿宋_GB2312" w:cs="黑体"/>
          <w:kern w:val="0"/>
          <w:sz w:val="28"/>
          <w:szCs w:val="28"/>
          <w:lang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2307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93397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93397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2YTRjYjczNmI0ZTlkNzFiZjA5ZWViZDY2MzQ0ZDcifQ=="/>
  </w:docVars>
  <w:rsids>
    <w:rsidRoot w:val="00C56D51"/>
    <w:rsid w:val="00227A95"/>
    <w:rsid w:val="002D36C7"/>
    <w:rsid w:val="003D6B13"/>
    <w:rsid w:val="003F09CA"/>
    <w:rsid w:val="004C3CF4"/>
    <w:rsid w:val="0056300F"/>
    <w:rsid w:val="005D06B9"/>
    <w:rsid w:val="00762009"/>
    <w:rsid w:val="007A3939"/>
    <w:rsid w:val="00872CE5"/>
    <w:rsid w:val="00885BF2"/>
    <w:rsid w:val="008F7885"/>
    <w:rsid w:val="00903965"/>
    <w:rsid w:val="00932A3B"/>
    <w:rsid w:val="00AD6245"/>
    <w:rsid w:val="00AF3842"/>
    <w:rsid w:val="00B53346"/>
    <w:rsid w:val="00BB3EDE"/>
    <w:rsid w:val="00C56D51"/>
    <w:rsid w:val="00CB3781"/>
    <w:rsid w:val="00EA4FF9"/>
    <w:rsid w:val="00F248BA"/>
    <w:rsid w:val="00F36434"/>
    <w:rsid w:val="00F667D3"/>
    <w:rsid w:val="00FC3117"/>
    <w:rsid w:val="08986E5B"/>
    <w:rsid w:val="13E65ABD"/>
    <w:rsid w:val="1F081E89"/>
    <w:rsid w:val="2B5708E8"/>
    <w:rsid w:val="3A797D87"/>
    <w:rsid w:val="49DB2788"/>
    <w:rsid w:val="50206A09"/>
    <w:rsid w:val="5A8F35B5"/>
    <w:rsid w:val="62917095"/>
    <w:rsid w:val="62F16F44"/>
    <w:rsid w:val="6B693E65"/>
    <w:rsid w:val="7E5A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9">
    <w:name w:val="font31"/>
    <w:basedOn w:val="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1025</Words>
  <Characters>1043</Characters>
  <Lines>12</Lines>
  <Paragraphs>3</Paragraphs>
  <TotalTime>5</TotalTime>
  <ScaleCrop>false</ScaleCrop>
  <LinksUpToDate>false</LinksUpToDate>
  <CharactersWithSpaces>1087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2024-05-16T00:41:00Z</dcterms:created>
  <dc:creator>Administrator</dc:creator>
  <cp:lastModifiedBy>田</cp:lastModifiedBy>
  <cp:lastPrinted>2025-10-22T02:52:27Z</cp:lastPrinted>
  <dcterms:modified xsi:type="dcterms:W3CDTF">2025-10-22T02:57:08Z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5F40CFF990AE4AA190A7BC72CF02F328_13</vt:lpwstr>
  </property>
  <property fmtid="{D5CDD505-2E9C-101B-9397-08002B2CF9AE}" pid="4" name="KSOTemplateDocerSaveRecord">
    <vt:lpwstr>eyJoZGlkIjoiZTJkODNhZTVmM2Q1MDNhZjc2MjgyOTllYWRkNDNlNDMiLCJ1c2VySWQiOiI1MjY3MzEwNDQifQ==</vt:lpwstr>
  </property>
</Properties>
</file>