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61430B">
      <w:pPr>
        <w:spacing w:line="600" w:lineRule="exact"/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关于通报各学院202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5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年征兵工作完成情况和明确202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6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年参军入伍指导计划的通知</w:t>
      </w:r>
    </w:p>
    <w:p w14:paraId="57572114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</w:p>
    <w:p w14:paraId="6EA733F2"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各学院：</w:t>
      </w:r>
    </w:p>
    <w:p w14:paraId="03457D7D">
      <w:pPr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经研究，现将2025年各学院征兵工作完成情况予以通报，并明确2026年参军入伍指导计划。请各学院认真复盘总结，深入查找问题不足，研究制定改进措施，切实提升征兵工作质效。</w:t>
      </w:r>
    </w:p>
    <w:p w14:paraId="7722AA65"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  <w:highlight w:val="none"/>
        </w:rPr>
      </w:pPr>
      <w:r>
        <w:rPr>
          <w:rFonts w:hint="eastAsia" w:ascii="黑体" w:hAnsi="黑体" w:eastAsia="黑体"/>
          <w:sz w:val="32"/>
          <w:szCs w:val="32"/>
          <w:highlight w:val="none"/>
        </w:rPr>
        <w:t>一、202</w:t>
      </w:r>
      <w:r>
        <w:rPr>
          <w:rFonts w:hint="eastAsia" w:ascii="黑体" w:hAnsi="黑体" w:eastAsia="黑体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黑体" w:hAnsi="黑体" w:eastAsia="黑体"/>
          <w:sz w:val="32"/>
          <w:szCs w:val="32"/>
          <w:highlight w:val="none"/>
        </w:rPr>
        <w:t>年征兵</w:t>
      </w:r>
      <w:r>
        <w:rPr>
          <w:rFonts w:hint="eastAsia" w:ascii="黑体" w:hAnsi="黑体" w:eastAsia="黑体"/>
          <w:sz w:val="32"/>
          <w:szCs w:val="32"/>
          <w:highlight w:val="none"/>
          <w:lang w:val="en-US" w:eastAsia="zh-CN"/>
        </w:rPr>
        <w:t>工作</w:t>
      </w:r>
      <w:r>
        <w:rPr>
          <w:rFonts w:hint="eastAsia" w:ascii="黑体" w:hAnsi="黑体" w:eastAsia="黑体"/>
          <w:sz w:val="32"/>
          <w:szCs w:val="32"/>
          <w:highlight w:val="none"/>
        </w:rPr>
        <w:t>完成情况</w:t>
      </w:r>
    </w:p>
    <w:p w14:paraId="285C344F">
      <w:pPr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2025年，各学院积极作为、多措并举，扎实推进征兵工作。全校共入伍16人，其中应届毕业生9人，毕业生征集质量稳步提升。管理学院超额完成年度指导计划，完成率达150%；康复医学院、精神卫生学院、中西医结合学院全面完成年度任务；药学院、医学信息工程学院、医学影像与检验学院各有1名毕业生参军入伍，为学校征兵工作作出了积极贡献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none"/>
          <w:lang w:val="en-US" w:eastAsia="zh-CN"/>
        </w:rPr>
        <w:t>见附件1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none"/>
          <w:lang w:eastAsia="zh-CN"/>
        </w:rPr>
        <w:t>）</w:t>
      </w:r>
    </w:p>
    <w:p w14:paraId="4DA39038">
      <w:pPr>
        <w:spacing w:line="560" w:lineRule="exact"/>
        <w:ind w:firstLine="640" w:firstLineChars="200"/>
        <w:jc w:val="left"/>
        <w:rPr>
          <w:rFonts w:hint="default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同时，也应清醒看到，当前征兵工作仍存在一些短板和不足：</w:t>
      </w: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一是部分学院重视程度不够。</w:t>
      </w:r>
      <w:r>
        <w:rPr>
          <w:rFonts w:hint="eastAsia" w:ascii="仿宋_GB2312" w:eastAsia="仿宋_GB2312"/>
          <w:sz w:val="32"/>
          <w:szCs w:val="32"/>
          <w:highlight w:val="none"/>
        </w:rPr>
        <w:t>全校尚有9个学院未完成年度指导计划，其中4个学院连续两年参军入伍人数为零，反映出相关学院对征兵工作的组织领导和责任落实还不到位。</w:t>
      </w: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二是毕业生宣传发动不够深入。</w:t>
      </w:r>
      <w:r>
        <w:rPr>
          <w:rFonts w:hint="eastAsia" w:ascii="仿宋_GB2312" w:eastAsia="仿宋_GB2312"/>
          <w:sz w:val="32"/>
          <w:szCs w:val="32"/>
          <w:highlight w:val="none"/>
        </w:rPr>
        <w:t>男毕业生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参军</w:t>
      </w:r>
      <w:r>
        <w:rPr>
          <w:rFonts w:hint="eastAsia" w:ascii="仿宋_GB2312" w:eastAsia="仿宋_GB2312"/>
          <w:sz w:val="32"/>
          <w:szCs w:val="32"/>
          <w:highlight w:val="none"/>
        </w:rPr>
        <w:t>入伍意愿摸底调查不够细致，对有意向或犹豫人员跟踪动员不够持续，政策宣讲未能全覆盖。部分毕业年级辅导员未按要求组织召开征兵宣传主题班会，导致毕业生对入伍优惠政策知晓率偏低、理解不到位。</w:t>
      </w: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三是兵员预储工作有待加强。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部分</w:t>
      </w:r>
      <w:r>
        <w:rPr>
          <w:rFonts w:hint="eastAsia" w:ascii="仿宋_GB2312" w:eastAsia="仿宋_GB2312"/>
          <w:sz w:val="32"/>
          <w:szCs w:val="32"/>
          <w:highlight w:val="none"/>
        </w:rPr>
        <w:t>学院对低年级学生的兵员预征预储重视不足，未能及时推荐或引导有入伍意愿的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低年级男</w:t>
      </w:r>
      <w:r>
        <w:rPr>
          <w:rFonts w:hint="eastAsia" w:ascii="仿宋_GB2312" w:eastAsia="仿宋_GB2312"/>
          <w:sz w:val="32"/>
          <w:szCs w:val="32"/>
          <w:highlight w:val="none"/>
        </w:rPr>
        <w:t>生参加学校组织的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兵员</w:t>
      </w:r>
      <w:r>
        <w:rPr>
          <w:rFonts w:hint="eastAsia" w:ascii="仿宋_GB2312" w:eastAsia="仿宋_GB2312"/>
          <w:sz w:val="32"/>
          <w:szCs w:val="32"/>
          <w:highlight w:val="none"/>
        </w:rPr>
        <w:t>预征预储培训，兵员储备基础仍较薄弱。</w:t>
      </w:r>
    </w:p>
    <w:p w14:paraId="2791B609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黑体" w:hAnsi="黑体" w:eastAsia="黑体"/>
          <w:sz w:val="32"/>
          <w:szCs w:val="32"/>
          <w:highlight w:val="none"/>
        </w:rPr>
        <w:t>二、202</w:t>
      </w:r>
      <w:r>
        <w:rPr>
          <w:rFonts w:hint="eastAsia" w:ascii="黑体" w:hAnsi="黑体" w:eastAsia="黑体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黑体" w:hAnsi="黑体" w:eastAsia="黑体"/>
          <w:sz w:val="32"/>
          <w:szCs w:val="32"/>
          <w:highlight w:val="none"/>
        </w:rPr>
        <w:t>年参军入伍指导计划</w:t>
      </w:r>
    </w:p>
    <w:p w14:paraId="1F6C2EF1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根据山东省人民政府征兵办公室、山东省教育厅明确的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我</w:t>
      </w:r>
      <w:r>
        <w:rPr>
          <w:rFonts w:hint="eastAsia" w:ascii="仿宋_GB2312" w:eastAsia="仿宋_GB2312"/>
          <w:sz w:val="32"/>
          <w:szCs w:val="32"/>
          <w:highlight w:val="none"/>
        </w:rPr>
        <w:t>校本科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男</w:t>
      </w:r>
      <w:r>
        <w:rPr>
          <w:rFonts w:hint="eastAsia" w:ascii="仿宋_GB2312" w:eastAsia="仿宋_GB2312"/>
          <w:sz w:val="32"/>
          <w:szCs w:val="32"/>
          <w:highlight w:val="none"/>
        </w:rPr>
        <w:t>毕业生参军入伍指导计划，依据各学院202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  <w:highlight w:val="none"/>
        </w:rPr>
        <w:t>届本科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男</w:t>
      </w:r>
      <w:r>
        <w:rPr>
          <w:rFonts w:hint="eastAsia" w:ascii="仿宋_GB2312" w:eastAsia="仿宋_GB2312"/>
          <w:sz w:val="32"/>
          <w:szCs w:val="32"/>
          <w:highlight w:val="none"/>
        </w:rPr>
        <w:t>毕业生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潜力</w:t>
      </w:r>
      <w:r>
        <w:rPr>
          <w:rFonts w:hint="eastAsia" w:ascii="仿宋_GB2312" w:eastAsia="仿宋_GB2312"/>
          <w:sz w:val="32"/>
          <w:szCs w:val="32"/>
          <w:highlight w:val="none"/>
        </w:rPr>
        <w:t>数量，明确202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  <w:highlight w:val="none"/>
        </w:rPr>
        <w:t>年参军入伍指导计划（见附件2）。</w:t>
      </w:r>
    </w:p>
    <w:p w14:paraId="31163703">
      <w:pPr>
        <w:spacing w:line="560" w:lineRule="exact"/>
        <w:ind w:firstLine="640" w:firstLineChars="200"/>
        <w:rPr>
          <w:rFonts w:hint="default" w:ascii="仿宋_GB2312" w:eastAsia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highlight w:val="none"/>
        </w:rPr>
        <w:t>三、</w:t>
      </w:r>
      <w:r>
        <w:rPr>
          <w:rFonts w:hint="eastAsia" w:ascii="黑体" w:hAnsi="黑体" w:eastAsia="黑体"/>
          <w:sz w:val="32"/>
          <w:szCs w:val="32"/>
          <w:highlight w:val="none"/>
          <w:lang w:val="en-US" w:eastAsia="zh-CN"/>
        </w:rPr>
        <w:t>近期重点工作安排</w:t>
      </w:r>
    </w:p>
    <w:p w14:paraId="37576D0D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当前，2026年上半年征兵工作已进入新兵起运阶段，下半年征兵工作全面启动，应征报名将于8月10日24时截止。各学院要抢抓毕业生离校前关键窗口期，深挖兵员潜力，精准宣传发动，确保征兵工作有序推进、高效落实。</w:t>
      </w:r>
    </w:p>
    <w:p w14:paraId="7EA7B00B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一是提高政治站位。</w:t>
      </w:r>
      <w:r>
        <w:rPr>
          <w:rFonts w:hint="eastAsia" w:ascii="仿宋_GB2312" w:eastAsia="仿宋_GB2312"/>
          <w:sz w:val="32"/>
          <w:szCs w:val="32"/>
          <w:highlight w:val="none"/>
        </w:rPr>
        <w:t>各学院要把征兵工作作为一项严肃的政治任务，加强组织领导，压实工作责任，确保各项任务落到实处。去年未完成指导计划的学院，要深刻剖析原因，制定整改措施，充分调动毕业年级辅导员积极性，全力完成2026年目标任务。</w:t>
      </w:r>
    </w:p>
    <w:p w14:paraId="72391669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二是抓实毕业生宣传发动。</w:t>
      </w:r>
      <w:r>
        <w:rPr>
          <w:rFonts w:hint="eastAsia" w:ascii="仿宋_GB2312" w:eastAsia="仿宋_GB2312"/>
          <w:sz w:val="32"/>
          <w:szCs w:val="32"/>
          <w:highlight w:val="none"/>
        </w:rPr>
        <w:t>各学院要采取线上线下相结合方式，组织毕业班召开征兵宣传主题班会，全面解读教育资助、考研加分、就业服务以及部队发展等优惠政策，鼓励有意愿的男毕业生踊跃应征报名。</w:t>
      </w:r>
    </w:p>
    <w:p w14:paraId="73D1454A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三是抓好兵员预征预储。</w:t>
      </w:r>
      <w:r>
        <w:rPr>
          <w:rFonts w:hint="eastAsia" w:ascii="仿宋_GB2312" w:eastAsia="仿宋_GB2312"/>
          <w:sz w:val="32"/>
          <w:szCs w:val="32"/>
          <w:highlight w:val="none"/>
        </w:rPr>
        <w:t>各学院要面向低年级男生开展征兵宣讲，鼓励引导有入伍意愿的学生参加学校兵员预征预储班，接受系统培养，为后续年度指标完成夯实基础。</w:t>
      </w:r>
    </w:p>
    <w:p w14:paraId="5499F239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四是发挥示范引领作用。</w:t>
      </w:r>
      <w:r>
        <w:rPr>
          <w:rFonts w:hint="eastAsia" w:ascii="仿宋_GB2312" w:eastAsia="仿宋_GB2312"/>
          <w:sz w:val="32"/>
          <w:szCs w:val="32"/>
          <w:highlight w:val="none"/>
        </w:rPr>
        <w:t>各学院要深入挖掘本院参军入伍毕业生典型事迹，重点征集在部队提干、考学、选取军士，以及退役后考取研究生、公务员、事业编或成功就业创业的鲜活事例，用身边人身边事提升征兵宣传的吸引力和感召力。</w:t>
      </w:r>
    </w:p>
    <w:p w14:paraId="036E2AEC">
      <w:pPr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各学院《</w:t>
      </w:r>
      <w:r>
        <w:rPr>
          <w:rFonts w:hint="default" w:ascii="仿宋_GB2312" w:eastAsia="仿宋_GB2312"/>
          <w:sz w:val="32"/>
          <w:szCs w:val="32"/>
          <w:highlight w:val="none"/>
        </w:rPr>
        <w:t>202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6届男</w:t>
      </w:r>
      <w:r>
        <w:rPr>
          <w:rFonts w:hint="default" w:ascii="仿宋_GB2312" w:eastAsia="仿宋_GB2312"/>
          <w:sz w:val="32"/>
          <w:szCs w:val="32"/>
          <w:highlight w:val="none"/>
        </w:rPr>
        <w:t>毕业生参军入伍目标责任书</w:t>
      </w:r>
      <w:r>
        <w:rPr>
          <w:rFonts w:hint="eastAsia" w:ascii="仿宋_GB2312" w:eastAsia="仿宋_GB2312"/>
          <w:sz w:val="32"/>
          <w:szCs w:val="32"/>
          <w:highlight w:val="none"/>
        </w:rPr>
        <w:t>》（一式两份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分管领导签字</w:t>
      </w:r>
      <w:r>
        <w:rPr>
          <w:rFonts w:hint="eastAsia" w:ascii="仿宋_GB2312" w:eastAsia="仿宋_GB2312"/>
          <w:sz w:val="32"/>
          <w:szCs w:val="32"/>
          <w:highlight w:val="none"/>
        </w:rPr>
        <w:t>）（见附件3）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征兵宣传主题班会</w:t>
      </w:r>
      <w:r>
        <w:rPr>
          <w:rFonts w:hint="eastAsia" w:ascii="仿宋_GB2312" w:hAnsi="Times New Roman" w:eastAsia="仿宋_GB2312" w:cs="Times New Roman"/>
          <w:sz w:val="32"/>
          <w:szCs w:val="32"/>
        </w:rPr>
        <w:t>开展情况统计表（见附件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 w:cs="Times New Roman"/>
          <w:sz w:val="32"/>
          <w:szCs w:val="32"/>
        </w:rPr>
        <w:t>）电子版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、参军入伍毕业生典型事迹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信息采集表电子版</w:t>
      </w:r>
      <w:r>
        <w:rPr>
          <w:rFonts w:hint="eastAsia" w:ascii="仿宋_GB2312" w:hAnsi="Times New Roman" w:eastAsia="仿宋_GB2312" w:cs="Times New Roman"/>
          <w:sz w:val="32"/>
          <w:szCs w:val="32"/>
        </w:rPr>
        <w:t>（见附件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仿宋_GB2312" w:hAnsi="Times New Roman" w:eastAsia="仿宋_GB2312" w:cs="Times New Roman"/>
          <w:sz w:val="32"/>
          <w:szCs w:val="32"/>
        </w:rPr>
        <w:t>）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2026年下半年应征报名学生花名册电子版</w:t>
      </w:r>
      <w:r>
        <w:rPr>
          <w:rFonts w:hint="eastAsia" w:ascii="仿宋_GB2312" w:hAnsi="Times New Roman" w:eastAsia="仿宋_GB2312" w:cs="Times New Roman"/>
          <w:sz w:val="32"/>
          <w:szCs w:val="32"/>
        </w:rPr>
        <w:t>（见附件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 w:cs="Times New Roman"/>
          <w:sz w:val="32"/>
          <w:szCs w:val="32"/>
        </w:rPr>
        <w:t>）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，</w:t>
      </w:r>
      <w:r>
        <w:rPr>
          <w:rFonts w:hint="eastAsia" w:ascii="仿宋_GB2312" w:hAnsi="Times New Roman" w:eastAsia="仿宋_GB2312" w:cs="Times New Roman"/>
          <w:sz w:val="32"/>
          <w:szCs w:val="32"/>
        </w:rPr>
        <w:t>于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月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30</w:t>
      </w:r>
      <w:r>
        <w:rPr>
          <w:rFonts w:hint="eastAsia" w:ascii="仿宋_GB2312" w:hAnsi="Times New Roman" w:eastAsia="仿宋_GB2312" w:cs="Times New Roman"/>
          <w:sz w:val="32"/>
          <w:szCs w:val="32"/>
        </w:rPr>
        <w:t>日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上午</w:t>
      </w:r>
      <w:r>
        <w:rPr>
          <w:rFonts w:hint="eastAsia" w:ascii="仿宋_GB2312" w:hAnsi="Times New Roman" w:eastAsia="仿宋_GB2312" w:cs="Times New Roman"/>
          <w:sz w:val="32"/>
          <w:szCs w:val="32"/>
        </w:rPr>
        <w:t>1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Times New Roman" w:eastAsia="仿宋_GB2312" w:cs="Times New Roman"/>
          <w:sz w:val="32"/>
          <w:szCs w:val="32"/>
        </w:rPr>
        <w:t>:00前将以学院为单位报送至学生工作处</w:t>
      </w:r>
      <w:r>
        <w:rPr>
          <w:rFonts w:hint="eastAsia" w:ascii="仿宋_GB2312" w:eastAsia="仿宋_GB2312"/>
          <w:sz w:val="32"/>
          <w:szCs w:val="32"/>
          <w:highlight w:val="none"/>
        </w:rPr>
        <w:t>国防教育科。</w:t>
      </w:r>
      <w:bookmarkStart w:id="0" w:name="_GoBack"/>
      <w:bookmarkEnd w:id="0"/>
    </w:p>
    <w:p w14:paraId="1418892F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联系人：石大伟；联系电话：677517</w:t>
      </w:r>
    </w:p>
    <w:p w14:paraId="0FB4C994">
      <w:pPr>
        <w:spacing w:line="560" w:lineRule="exact"/>
        <w:ind w:left="1918" w:leftChars="304" w:hanging="1280" w:hangingChars="400"/>
        <w:rPr>
          <w:rFonts w:ascii="仿宋_GB2312" w:hAnsi="仿宋" w:eastAsia="仿宋_GB2312"/>
          <w:sz w:val="32"/>
          <w:szCs w:val="32"/>
        </w:rPr>
      </w:pPr>
    </w:p>
    <w:p w14:paraId="646F15E0">
      <w:pPr>
        <w:spacing w:line="560" w:lineRule="exact"/>
        <w:ind w:left="1918" w:leftChars="304" w:hanging="1280" w:hangingChars="4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附件：</w:t>
      </w:r>
      <w:r>
        <w:rPr>
          <w:rFonts w:hint="eastAsia" w:ascii="仿宋_GB2312" w:eastAsia="仿宋_GB2312"/>
          <w:sz w:val="32"/>
          <w:szCs w:val="32"/>
        </w:rPr>
        <w:t>1.2025年各学院参军入伍指导计划完成情况统计表</w:t>
      </w:r>
    </w:p>
    <w:p w14:paraId="1AB5FD7F">
      <w:pPr>
        <w:spacing w:line="560" w:lineRule="exact"/>
        <w:ind w:left="1918" w:leftChars="304" w:hanging="1280" w:hangingChars="4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2.各学院2026届男毕业生参军入伍指导计划</w:t>
      </w:r>
    </w:p>
    <w:p w14:paraId="312AD4A3">
      <w:pPr>
        <w:spacing w:line="560" w:lineRule="exact"/>
        <w:ind w:left="1918" w:leftChars="304" w:hanging="1280" w:hangingChars="4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3.2026届男毕业生参军入伍目标责任书</w:t>
      </w:r>
    </w:p>
    <w:p w14:paraId="68151C55">
      <w:pPr>
        <w:spacing w:line="560" w:lineRule="exact"/>
        <w:ind w:left="1916" w:leftChars="760" w:hanging="320" w:hangingChars="1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征兵宣传主题班会</w:t>
      </w:r>
      <w:r>
        <w:rPr>
          <w:rFonts w:hint="eastAsia" w:ascii="仿宋_GB2312" w:hAnsi="Times New Roman" w:eastAsia="仿宋_GB2312" w:cs="Times New Roman"/>
          <w:sz w:val="32"/>
          <w:szCs w:val="32"/>
        </w:rPr>
        <w:t>开展情况统计表</w:t>
      </w:r>
    </w:p>
    <w:p w14:paraId="04A17411">
      <w:pPr>
        <w:spacing w:line="560" w:lineRule="exact"/>
        <w:ind w:left="1916" w:leftChars="760" w:hanging="320" w:hangingChars="100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5.参军入伍毕业生典型事迹信息采集表</w:t>
      </w:r>
    </w:p>
    <w:p w14:paraId="55211EE0">
      <w:pPr>
        <w:spacing w:line="560" w:lineRule="exact"/>
        <w:ind w:left="1916" w:leftChars="760" w:hanging="320" w:hangingChars="100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6.2026年下半年应征报名学生花名册</w:t>
      </w:r>
    </w:p>
    <w:p w14:paraId="65897405">
      <w:pPr>
        <w:spacing w:line="560" w:lineRule="exact"/>
        <w:ind w:left="1916" w:leftChars="760" w:hanging="320" w:hangingChars="100"/>
        <w:rPr>
          <w:rFonts w:hint="default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7.应届毕业生参军入伍政策摘编</w:t>
      </w:r>
    </w:p>
    <w:p w14:paraId="7BCACF8A">
      <w:pPr>
        <w:pStyle w:val="15"/>
        <w:ind w:firstLine="5760" w:firstLineChars="1800"/>
        <w:rPr>
          <w:rFonts w:hint="eastAsia" w:ascii="仿宋_GB2312" w:hAnsi="仿宋_GB2312" w:eastAsia="仿宋_GB2312" w:cs="仿宋_GB2312"/>
        </w:rPr>
      </w:pPr>
    </w:p>
    <w:p w14:paraId="22E491DB">
      <w:pPr>
        <w:pStyle w:val="15"/>
        <w:ind w:firstLine="5760" w:firstLineChars="1800"/>
        <w:rPr>
          <w:rFonts w:hint="eastAsia" w:ascii="仿宋_GB2312" w:hAnsi="仿宋_GB2312" w:eastAsia="仿宋_GB2312" w:cs="仿宋_GB2312"/>
        </w:rPr>
      </w:pPr>
    </w:p>
    <w:p w14:paraId="68CF10BF">
      <w:pPr>
        <w:pStyle w:val="15"/>
        <w:ind w:firstLine="5760" w:firstLineChars="1800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学生工作处</w:t>
      </w:r>
    </w:p>
    <w:p w14:paraId="11297FE1">
      <w:pPr>
        <w:pStyle w:val="15"/>
        <w:ind w:firstLine="5440" w:firstLineChars="17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w:t>202</w:t>
      </w:r>
      <w:r>
        <w:rPr>
          <w:rFonts w:hint="eastAsia" w:ascii="仿宋_GB2312" w:hAnsi="仿宋_GB2312" w:eastAsia="仿宋_GB2312" w:cs="仿宋_GB231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</w:rPr>
        <w:t>年</w:t>
      </w:r>
      <w:r>
        <w:rPr>
          <w:rFonts w:hint="eastAsia" w:ascii="仿宋_GB2312" w:hAnsi="仿宋_GB2312" w:eastAsia="仿宋_GB2312" w:cs="仿宋_GB231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</w:rPr>
        <w:t>月</w:t>
      </w:r>
      <w:r>
        <w:rPr>
          <w:rFonts w:hint="eastAsia" w:ascii="仿宋_GB2312" w:hAnsi="仿宋_GB2312" w:eastAsia="仿宋_GB2312" w:cs="仿宋_GB231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</w:rPr>
        <w:t>6日</w:t>
      </w:r>
    </w:p>
    <w:sectPr>
      <w:footerReference r:id="rId3" w:type="default"/>
      <w:pgSz w:w="11906" w:h="16838"/>
      <w:pgMar w:top="2041" w:right="1474" w:bottom="1701" w:left="1588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C37A5EF-6204-4C9A-849F-DD23BD92F2B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2" w:fontKey="{D05EA845-4921-44C7-8222-F72F73E40C63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6DDEDDE6-069A-46D7-88BD-BF0FFDC217DD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36CA034E-BC16-4B95-873A-77387FF4E609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3F7FCE9A-1DBD-40B2-838F-EA41435721BE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9019820"/>
      <w:docPartObj>
        <w:docPartGallery w:val="autotext"/>
      </w:docPartObj>
    </w:sdtPr>
    <w:sdtEndPr>
      <w:rPr>
        <w:rFonts w:hint="eastAsia" w:ascii="仿宋_GB2312" w:eastAsia="仿宋_GB2312"/>
        <w:sz w:val="28"/>
        <w:szCs w:val="28"/>
      </w:rPr>
    </w:sdtEndPr>
    <w:sdtContent>
      <w:p w14:paraId="7AF60B89">
        <w:pPr>
          <w:pStyle w:val="4"/>
          <w:jc w:val="right"/>
          <w:rPr>
            <w:rFonts w:ascii="仿宋_GB2312" w:eastAsia="仿宋_GB2312"/>
            <w:sz w:val="28"/>
            <w:szCs w:val="28"/>
          </w:rPr>
        </w:pPr>
        <w:r>
          <w:rPr>
            <w:rFonts w:hint="eastAsia" w:ascii="仿宋_GB2312" w:eastAsia="仿宋_GB2312"/>
            <w:sz w:val="28"/>
            <w:szCs w:val="28"/>
          </w:rPr>
          <w:fldChar w:fldCharType="begin"/>
        </w:r>
        <w:r>
          <w:rPr>
            <w:rFonts w:hint="eastAsia" w:ascii="仿宋_GB2312" w:eastAsia="仿宋_GB2312"/>
            <w:sz w:val="28"/>
            <w:szCs w:val="28"/>
          </w:rPr>
          <w:instrText xml:space="preserve">PAGE   \* MERGEFORMAT</w:instrText>
        </w:r>
        <w:r>
          <w:rPr>
            <w:rFonts w:hint="eastAsia" w:ascii="仿宋_GB2312" w:eastAsia="仿宋_GB2312"/>
            <w:sz w:val="28"/>
            <w:szCs w:val="28"/>
          </w:rPr>
          <w:fldChar w:fldCharType="separate"/>
        </w:r>
        <w:r>
          <w:rPr>
            <w:rFonts w:ascii="仿宋_GB2312" w:eastAsia="仿宋_GB2312"/>
            <w:sz w:val="28"/>
            <w:szCs w:val="28"/>
            <w:lang w:val="zh-CN"/>
          </w:rPr>
          <w:t>-</w:t>
        </w:r>
        <w:r>
          <w:rPr>
            <w:rFonts w:ascii="仿宋_GB2312" w:eastAsia="仿宋_GB2312"/>
            <w:sz w:val="28"/>
            <w:szCs w:val="28"/>
          </w:rPr>
          <w:t xml:space="preserve"> 3 -</w:t>
        </w:r>
        <w:r>
          <w:rPr>
            <w:rFonts w:hint="eastAsia" w:ascii="仿宋_GB2312" w:eastAsia="仿宋_GB2312"/>
            <w:sz w:val="28"/>
            <w:szCs w:val="28"/>
          </w:rPr>
          <w:fldChar w:fldCharType="end"/>
        </w:r>
      </w:p>
    </w:sdtContent>
  </w:sdt>
  <w:p w14:paraId="24840C57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352"/>
    <w:rsid w:val="00011D47"/>
    <w:rsid w:val="000254BE"/>
    <w:rsid w:val="00026B92"/>
    <w:rsid w:val="0003426A"/>
    <w:rsid w:val="00040B69"/>
    <w:rsid w:val="00077371"/>
    <w:rsid w:val="000C4375"/>
    <w:rsid w:val="000F6BE1"/>
    <w:rsid w:val="00100DCA"/>
    <w:rsid w:val="001216C8"/>
    <w:rsid w:val="00134390"/>
    <w:rsid w:val="0013792B"/>
    <w:rsid w:val="00142141"/>
    <w:rsid w:val="00181671"/>
    <w:rsid w:val="00183A91"/>
    <w:rsid w:val="00197476"/>
    <w:rsid w:val="001B18FF"/>
    <w:rsid w:val="001C06A4"/>
    <w:rsid w:val="001F4CEA"/>
    <w:rsid w:val="001F78C7"/>
    <w:rsid w:val="002077E8"/>
    <w:rsid w:val="0022439E"/>
    <w:rsid w:val="00231850"/>
    <w:rsid w:val="0023704A"/>
    <w:rsid w:val="00273BFC"/>
    <w:rsid w:val="00294826"/>
    <w:rsid w:val="002B72F6"/>
    <w:rsid w:val="002D5956"/>
    <w:rsid w:val="002D7B6B"/>
    <w:rsid w:val="002F51AB"/>
    <w:rsid w:val="002F7294"/>
    <w:rsid w:val="0031043B"/>
    <w:rsid w:val="003228CE"/>
    <w:rsid w:val="00331215"/>
    <w:rsid w:val="00343E82"/>
    <w:rsid w:val="003728CF"/>
    <w:rsid w:val="00386E7F"/>
    <w:rsid w:val="003878F7"/>
    <w:rsid w:val="003A2831"/>
    <w:rsid w:val="003A3190"/>
    <w:rsid w:val="003B6AC5"/>
    <w:rsid w:val="003C007A"/>
    <w:rsid w:val="003D67B4"/>
    <w:rsid w:val="00407DFA"/>
    <w:rsid w:val="00410941"/>
    <w:rsid w:val="00413C48"/>
    <w:rsid w:val="00463256"/>
    <w:rsid w:val="00483328"/>
    <w:rsid w:val="00486B3F"/>
    <w:rsid w:val="00494A03"/>
    <w:rsid w:val="004B196E"/>
    <w:rsid w:val="004D62FF"/>
    <w:rsid w:val="004E5431"/>
    <w:rsid w:val="004F1802"/>
    <w:rsid w:val="00503F88"/>
    <w:rsid w:val="00541836"/>
    <w:rsid w:val="0054216E"/>
    <w:rsid w:val="00560B9A"/>
    <w:rsid w:val="00572510"/>
    <w:rsid w:val="00591A14"/>
    <w:rsid w:val="00593F89"/>
    <w:rsid w:val="005C7E1F"/>
    <w:rsid w:val="005D1468"/>
    <w:rsid w:val="005E7DDD"/>
    <w:rsid w:val="005F09E2"/>
    <w:rsid w:val="00625A7A"/>
    <w:rsid w:val="00625C37"/>
    <w:rsid w:val="00626213"/>
    <w:rsid w:val="006271BA"/>
    <w:rsid w:val="00631ABF"/>
    <w:rsid w:val="00635B0F"/>
    <w:rsid w:val="00653066"/>
    <w:rsid w:val="006634E4"/>
    <w:rsid w:val="00692588"/>
    <w:rsid w:val="006F1FA2"/>
    <w:rsid w:val="006F3452"/>
    <w:rsid w:val="006F7DFC"/>
    <w:rsid w:val="00706C73"/>
    <w:rsid w:val="00740A1B"/>
    <w:rsid w:val="007457EF"/>
    <w:rsid w:val="00753BE0"/>
    <w:rsid w:val="007543CE"/>
    <w:rsid w:val="0077228A"/>
    <w:rsid w:val="007957DE"/>
    <w:rsid w:val="007C0B17"/>
    <w:rsid w:val="007C78AC"/>
    <w:rsid w:val="007F5EAA"/>
    <w:rsid w:val="007F6C2F"/>
    <w:rsid w:val="00810790"/>
    <w:rsid w:val="00827ADA"/>
    <w:rsid w:val="008455EC"/>
    <w:rsid w:val="00864BA5"/>
    <w:rsid w:val="0087435B"/>
    <w:rsid w:val="008C3427"/>
    <w:rsid w:val="008D5156"/>
    <w:rsid w:val="008D5A35"/>
    <w:rsid w:val="0090593F"/>
    <w:rsid w:val="00923F5D"/>
    <w:rsid w:val="009308E8"/>
    <w:rsid w:val="00953099"/>
    <w:rsid w:val="00967FB7"/>
    <w:rsid w:val="00977789"/>
    <w:rsid w:val="009855C2"/>
    <w:rsid w:val="009C7577"/>
    <w:rsid w:val="009E74C2"/>
    <w:rsid w:val="009F0843"/>
    <w:rsid w:val="00A017C6"/>
    <w:rsid w:val="00A050C8"/>
    <w:rsid w:val="00A1391B"/>
    <w:rsid w:val="00A355BE"/>
    <w:rsid w:val="00A35FFC"/>
    <w:rsid w:val="00A51234"/>
    <w:rsid w:val="00AC6BA4"/>
    <w:rsid w:val="00AD4217"/>
    <w:rsid w:val="00AE14ED"/>
    <w:rsid w:val="00AE1922"/>
    <w:rsid w:val="00B517CD"/>
    <w:rsid w:val="00B7211B"/>
    <w:rsid w:val="00B74352"/>
    <w:rsid w:val="00B80548"/>
    <w:rsid w:val="00BD5B0B"/>
    <w:rsid w:val="00BF5008"/>
    <w:rsid w:val="00BF7F20"/>
    <w:rsid w:val="00C057DC"/>
    <w:rsid w:val="00C13D94"/>
    <w:rsid w:val="00C14D96"/>
    <w:rsid w:val="00C56B63"/>
    <w:rsid w:val="00C723D9"/>
    <w:rsid w:val="00C8784F"/>
    <w:rsid w:val="00C9568A"/>
    <w:rsid w:val="00CB5712"/>
    <w:rsid w:val="00CB7863"/>
    <w:rsid w:val="00CD6788"/>
    <w:rsid w:val="00CE074B"/>
    <w:rsid w:val="00D11004"/>
    <w:rsid w:val="00D1100B"/>
    <w:rsid w:val="00D13B84"/>
    <w:rsid w:val="00D37D81"/>
    <w:rsid w:val="00D4245F"/>
    <w:rsid w:val="00D623D9"/>
    <w:rsid w:val="00D80BE0"/>
    <w:rsid w:val="00DA7F58"/>
    <w:rsid w:val="00DB0F2B"/>
    <w:rsid w:val="00DD2EF6"/>
    <w:rsid w:val="00DF24FC"/>
    <w:rsid w:val="00E145B0"/>
    <w:rsid w:val="00E54E36"/>
    <w:rsid w:val="00E64849"/>
    <w:rsid w:val="00E70A44"/>
    <w:rsid w:val="00E8151C"/>
    <w:rsid w:val="00E94357"/>
    <w:rsid w:val="00EB6E41"/>
    <w:rsid w:val="00EC14DB"/>
    <w:rsid w:val="00EC693B"/>
    <w:rsid w:val="00EE11A6"/>
    <w:rsid w:val="00EE6B91"/>
    <w:rsid w:val="00EF1C77"/>
    <w:rsid w:val="00EF58E1"/>
    <w:rsid w:val="00EF69A9"/>
    <w:rsid w:val="00F10B27"/>
    <w:rsid w:val="00F256FF"/>
    <w:rsid w:val="00F27FD6"/>
    <w:rsid w:val="00F33F50"/>
    <w:rsid w:val="00F51DA8"/>
    <w:rsid w:val="00FA23E4"/>
    <w:rsid w:val="00FD786D"/>
    <w:rsid w:val="06B56F46"/>
    <w:rsid w:val="06FC2DC7"/>
    <w:rsid w:val="08145EEF"/>
    <w:rsid w:val="0BF02396"/>
    <w:rsid w:val="0E3552AF"/>
    <w:rsid w:val="16133C89"/>
    <w:rsid w:val="193463F1"/>
    <w:rsid w:val="19D35C0A"/>
    <w:rsid w:val="218E0668"/>
    <w:rsid w:val="22CD4E6E"/>
    <w:rsid w:val="26A34BB6"/>
    <w:rsid w:val="26F9285A"/>
    <w:rsid w:val="296C74E1"/>
    <w:rsid w:val="2E1224B3"/>
    <w:rsid w:val="33863895"/>
    <w:rsid w:val="34545741"/>
    <w:rsid w:val="364002EB"/>
    <w:rsid w:val="41990C37"/>
    <w:rsid w:val="442C7B41"/>
    <w:rsid w:val="468C2B19"/>
    <w:rsid w:val="4D01600E"/>
    <w:rsid w:val="4F09192A"/>
    <w:rsid w:val="509E3B74"/>
    <w:rsid w:val="55425416"/>
    <w:rsid w:val="55E22755"/>
    <w:rsid w:val="573E7E5F"/>
    <w:rsid w:val="5E781EA8"/>
    <w:rsid w:val="60031C46"/>
    <w:rsid w:val="69E20B1E"/>
    <w:rsid w:val="6BEB1F0C"/>
    <w:rsid w:val="6FA64737"/>
    <w:rsid w:val="708C17E3"/>
    <w:rsid w:val="72DA4A88"/>
    <w:rsid w:val="732164DC"/>
    <w:rsid w:val="761958C7"/>
    <w:rsid w:val="76F53C3E"/>
    <w:rsid w:val="7DF764EE"/>
    <w:rsid w:val="7F363046"/>
    <w:rsid w:val="7F7D6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12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link w:val="16"/>
    <w:semiHidden/>
    <w:unhideWhenUsed/>
    <w:qFormat/>
    <w:uiPriority w:val="99"/>
    <w:pPr>
      <w:ind w:left="100" w:leftChars="2500"/>
    </w:pPr>
  </w:style>
  <w:style w:type="paragraph" w:styleId="4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Hyperlink"/>
    <w:basedOn w:val="8"/>
    <w:semiHidden/>
    <w:unhideWhenUsed/>
    <w:qFormat/>
    <w:uiPriority w:val="99"/>
    <w:rPr>
      <w:color w:val="0000FF"/>
      <w:u w:val="single"/>
    </w:rPr>
  </w:style>
  <w:style w:type="paragraph" w:customStyle="1" w:styleId="11">
    <w:name w:val="ueditor-text-p_display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2">
    <w:name w:val="标题 3 Char"/>
    <w:basedOn w:val="8"/>
    <w:link w:val="2"/>
    <w:qFormat/>
    <w:uiPriority w:val="9"/>
    <w:rPr>
      <w:b/>
      <w:bCs/>
      <w:sz w:val="32"/>
      <w:szCs w:val="32"/>
    </w:rPr>
  </w:style>
  <w:style w:type="character" w:customStyle="1" w:styleId="13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4">
    <w:name w:val="页脚 Char"/>
    <w:basedOn w:val="8"/>
    <w:link w:val="4"/>
    <w:qFormat/>
    <w:uiPriority w:val="99"/>
    <w:rPr>
      <w:sz w:val="18"/>
      <w:szCs w:val="18"/>
    </w:rPr>
  </w:style>
  <w:style w:type="paragraph" w:styleId="15">
    <w:name w:val="List Paragraph"/>
    <w:basedOn w:val="1"/>
    <w:qFormat/>
    <w:uiPriority w:val="34"/>
    <w:pPr>
      <w:widowControl/>
      <w:spacing w:line="560" w:lineRule="exact"/>
      <w:ind w:firstLine="420" w:firstLineChars="200"/>
    </w:pPr>
    <w:rPr>
      <w:rFonts w:ascii="Times New Roman" w:hAnsi="Times New Roman"/>
      <w:sz w:val="32"/>
      <w:szCs w:val="32"/>
    </w:rPr>
  </w:style>
  <w:style w:type="character" w:customStyle="1" w:styleId="16">
    <w:name w:val="日期 Char"/>
    <w:basedOn w:val="8"/>
    <w:link w:val="3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1443</Words>
  <Characters>1524</Characters>
  <Lines>18</Lines>
  <Paragraphs>5</Paragraphs>
  <TotalTime>5</TotalTime>
  <ScaleCrop>false</ScaleCrop>
  <LinksUpToDate>false</LinksUpToDate>
  <CharactersWithSpaces>1536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2025-02-24T02:45:00Z</dcterms:created>
  <dc:creator>admin</dc:creator>
  <cp:lastModifiedBy>YUYUYU</cp:lastModifiedBy>
  <cp:lastPrinted>2025-02-25T02:47:00Z</cp:lastPrinted>
  <dcterms:modified xsi:type="dcterms:W3CDTF">2026-03-12T00:43:29Z</dcterms:modified>
  <cp:revision>137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eyJoZGlkIjoiZDYzYWMxNDdlZWIyNDIyZjZhZjVkODM2NTI0MTlkYWMiLCJ1c2VySWQiOiIzMTI1MzA0MzQifQ==</vt:lpwstr>
  </property>
  <property fmtid="{D5CDD505-2E9C-101B-9397-08002B2CF9AE}" pid="3" name="KSOProductBuildVer">
    <vt:lpwstr>2052-12.1.0.25225</vt:lpwstr>
  </property>
  <property fmtid="{D5CDD505-2E9C-101B-9397-08002B2CF9AE}" pid="4" name="ICV">
    <vt:lpwstr>75D034EF7D034526943A0449C567AF8E_12</vt:lpwstr>
  </property>
</Properties>
</file>